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2FFC" w:rsidRDefault="007C4518">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SOLICITA PARTICIPACIÓN </w:t>
      </w:r>
    </w:p>
    <w:p w14:paraId="00000002" w14:textId="77777777" w:rsidR="00742FFC" w:rsidRDefault="007C4518">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COMO QUERELLANTE PARTICULAR</w:t>
      </w:r>
    </w:p>
    <w:p w14:paraId="00000003" w14:textId="77777777" w:rsidR="00742FFC" w:rsidRDefault="00742FFC">
      <w:pPr>
        <w:spacing w:after="120" w:line="240" w:lineRule="auto"/>
        <w:jc w:val="center"/>
        <w:rPr>
          <w:rFonts w:ascii="Times New Roman" w:eastAsia="Times New Roman" w:hAnsi="Times New Roman" w:cs="Times New Roman"/>
          <w:b/>
          <w:sz w:val="24"/>
          <w:szCs w:val="24"/>
        </w:rPr>
      </w:pPr>
    </w:p>
    <w:p w14:paraId="00000004" w14:textId="77777777" w:rsidR="00742FFC" w:rsidRDefault="00742FFC">
      <w:pPr>
        <w:spacing w:after="120" w:line="240" w:lineRule="auto"/>
        <w:jc w:val="center"/>
        <w:rPr>
          <w:rFonts w:ascii="Times New Roman" w:eastAsia="Times New Roman" w:hAnsi="Times New Roman" w:cs="Times New Roman"/>
          <w:b/>
          <w:sz w:val="24"/>
          <w:szCs w:val="24"/>
        </w:rPr>
      </w:pPr>
    </w:p>
    <w:p w14:paraId="00000005" w14:textId="77777777" w:rsidR="00742FFC" w:rsidRDefault="00742FFC">
      <w:pPr>
        <w:spacing w:after="120" w:line="240" w:lineRule="auto"/>
        <w:jc w:val="center"/>
        <w:rPr>
          <w:rFonts w:ascii="Times New Roman" w:eastAsia="Times New Roman" w:hAnsi="Times New Roman" w:cs="Times New Roman"/>
          <w:b/>
          <w:sz w:val="24"/>
          <w:szCs w:val="24"/>
        </w:rPr>
      </w:pPr>
    </w:p>
    <w:p w14:paraId="00000006" w14:textId="77777777" w:rsidR="00742FFC" w:rsidRDefault="007C4518">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SEÑOR FISCAL  DE INSTRUCCIÓN</w:t>
      </w:r>
    </w:p>
    <w:p w14:paraId="00000007" w14:textId="77777777" w:rsidR="00742FFC" w:rsidRDefault="007C45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[turno, distrito, sede judicial del interior, ejemplo: alta gracia]</w:t>
      </w:r>
      <w:r>
        <w:rPr>
          <w:rFonts w:ascii="Times New Roman" w:eastAsia="Times New Roman" w:hAnsi="Times New Roman" w:cs="Times New Roman"/>
          <w:b/>
          <w:color w:val="000000"/>
          <w:sz w:val="24"/>
          <w:szCs w:val="24"/>
        </w:rPr>
        <w:t>: </w:t>
      </w:r>
    </w:p>
    <w:p w14:paraId="00000008" w14:textId="77777777" w:rsidR="00742FFC" w:rsidRDefault="007C4518">
      <w:pPr>
        <w:spacing w:before="20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[Nombre completo, DNI, Domicilio, Cargo, Personería Jurídica de la Organización a quien se representa en caso que corresponda], tal como lo acredito con el acta de designación que adjunto</w:t>
      </w:r>
      <w:r>
        <w:rPr>
          <w:rFonts w:ascii="Times New Roman" w:eastAsia="Times New Roman" w:hAnsi="Times New Roman" w:cs="Times New Roman"/>
          <w:color w:val="000000"/>
          <w:sz w:val="24"/>
          <w:szCs w:val="24"/>
        </w:rPr>
        <w:t>, con el patrocinio letrado del Dr.  </w:t>
      </w:r>
      <w:r>
        <w:rPr>
          <w:rFonts w:ascii="Times New Roman" w:eastAsia="Times New Roman" w:hAnsi="Times New Roman" w:cs="Times New Roman"/>
          <w:color w:val="FF0000"/>
          <w:sz w:val="24"/>
          <w:szCs w:val="24"/>
        </w:rPr>
        <w:t>[Nombre completo del abogado pat</w:t>
      </w:r>
      <w:r>
        <w:rPr>
          <w:rFonts w:ascii="Times New Roman" w:eastAsia="Times New Roman" w:hAnsi="Times New Roman" w:cs="Times New Roman"/>
          <w:color w:val="FF0000"/>
          <w:sz w:val="24"/>
          <w:szCs w:val="24"/>
        </w:rPr>
        <w:t>rocinante, y matrícula profesional]</w:t>
      </w:r>
      <w:r>
        <w:rPr>
          <w:rFonts w:ascii="Times New Roman" w:eastAsia="Times New Roman" w:hAnsi="Times New Roman" w:cs="Times New Roman"/>
          <w:color w:val="000000"/>
          <w:sz w:val="24"/>
          <w:szCs w:val="24"/>
        </w:rPr>
        <w:t xml:space="preserve">, constituyendo domicilio para todos los efectos procesales en </w:t>
      </w:r>
      <w:r>
        <w:rPr>
          <w:rFonts w:ascii="Times New Roman" w:eastAsia="Times New Roman" w:hAnsi="Times New Roman" w:cs="Times New Roman"/>
          <w:color w:val="FF0000"/>
          <w:sz w:val="24"/>
          <w:szCs w:val="24"/>
        </w:rPr>
        <w:t>[Domicilio]</w:t>
      </w:r>
      <w:r>
        <w:rPr>
          <w:rFonts w:ascii="Times New Roman" w:eastAsia="Times New Roman" w:hAnsi="Times New Roman" w:cs="Times New Roman"/>
          <w:color w:val="000000"/>
          <w:sz w:val="24"/>
          <w:szCs w:val="24"/>
        </w:rPr>
        <w:t xml:space="preserve">, me presento ante V.S. en estos </w:t>
      </w:r>
      <w:r>
        <w:rPr>
          <w:rFonts w:ascii="Times New Roman" w:eastAsia="Times New Roman" w:hAnsi="Times New Roman" w:cs="Times New Roman"/>
          <w:color w:val="FF0000"/>
          <w:sz w:val="24"/>
          <w:szCs w:val="24"/>
        </w:rPr>
        <w:t xml:space="preserve">autos caratulados </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[caratula]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 xml:space="preserve">actuaciones sumariales </w:t>
      </w:r>
      <w:proofErr w:type="spellStart"/>
      <w:r>
        <w:rPr>
          <w:rFonts w:ascii="Times New Roman" w:eastAsia="Times New Roman" w:hAnsi="Times New Roman" w:cs="Times New Roman"/>
          <w:color w:val="FF0000"/>
          <w:sz w:val="24"/>
          <w:szCs w:val="24"/>
        </w:rPr>
        <w:t>Nº</w:t>
      </w:r>
      <w:proofErr w:type="spellEnd"/>
      <w:r>
        <w:rPr>
          <w:rFonts w:ascii="Times New Roman" w:eastAsia="Times New Roman" w:hAnsi="Times New Roman" w:cs="Times New Roman"/>
          <w:color w:val="FF0000"/>
          <w:sz w:val="24"/>
          <w:szCs w:val="24"/>
        </w:rPr>
        <w:t xml:space="preserve"> XXX (dependiendo del estado en que se encuentre la causa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y respetuosamente ante Ud., y digo:</w:t>
      </w:r>
    </w:p>
    <w:p w14:paraId="00000009" w14:textId="77777777" w:rsidR="00742FFC" w:rsidRDefault="007C4518">
      <w:pPr>
        <w:spacing w:after="3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PERSONERÍA</w:t>
      </w:r>
    </w:p>
    <w:p w14:paraId="0000000A" w14:textId="77777777" w:rsidR="00742FFC" w:rsidRDefault="007C4518">
      <w:pPr>
        <w:spacing w:after="3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HECHOS </w:t>
      </w:r>
    </w:p>
    <w:p w14:paraId="0000000B" w14:textId="77777777" w:rsidR="00742FFC" w:rsidRDefault="007C4518">
      <w:pPr>
        <w:spacing w:after="30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[Relatar los hechos lo más detallado posible, y si se trata de una fumigación, indicar día, hora, condiciones climáticas (la temperatura, dirección de los vientos, humedad), métodos empleados, </w:t>
      </w:r>
      <w:r>
        <w:rPr>
          <w:rFonts w:ascii="Times New Roman" w:eastAsia="Times New Roman" w:hAnsi="Times New Roman" w:cs="Times New Roman"/>
          <w:color w:val="FF0000"/>
          <w:sz w:val="24"/>
          <w:szCs w:val="24"/>
        </w:rPr>
        <w:t>vehículos utilizados para la aplicación (máquina de arrastre, terrestre, mosquito, aérea). Cualquier otro detalle que sea relevante para la identificación del hecho será útil. Por ejemplo, podrán servir fotografías del lugar donde está el depósito/comercio</w:t>
      </w:r>
      <w:r>
        <w:rPr>
          <w:rFonts w:ascii="Times New Roman" w:eastAsia="Times New Roman" w:hAnsi="Times New Roman" w:cs="Times New Roman"/>
          <w:color w:val="FF0000"/>
          <w:sz w:val="24"/>
          <w:szCs w:val="24"/>
        </w:rPr>
        <w:t xml:space="preserve"> de agroquímicos, del lugar de disposición final de envases de agroquímicos, lugar de fumigación como así también de los envases, maquinaria, persona que realiza la aplicación, etc. Es de mucha importancia poder hacer constar la ubicación del terreno fumig</w:t>
      </w:r>
      <w:r>
        <w:rPr>
          <w:rFonts w:ascii="Times New Roman" w:eastAsia="Times New Roman" w:hAnsi="Times New Roman" w:cs="Times New Roman"/>
          <w:color w:val="FF0000"/>
          <w:sz w:val="24"/>
          <w:szCs w:val="24"/>
        </w:rPr>
        <w:t>ado, y su distancia con respecto al ejido urbano y viviendas cercanas. Indicar nombre y apellido de los involucrados si los supiera.]</w:t>
      </w:r>
    </w:p>
    <w:p w14:paraId="0000000C" w14:textId="77777777" w:rsidR="00742FFC" w:rsidRDefault="007C451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II.- CALIFICACIÓN LEGAL:</w:t>
      </w:r>
    </w:p>
    <w:p w14:paraId="0000000D" w14:textId="77777777" w:rsidR="00742FFC" w:rsidRDefault="00742FFC">
      <w:pPr>
        <w:spacing w:after="0" w:line="360" w:lineRule="auto"/>
        <w:jc w:val="both"/>
        <w:rPr>
          <w:rFonts w:ascii="Times New Roman" w:eastAsia="Times New Roman" w:hAnsi="Times New Roman" w:cs="Times New Roman"/>
          <w:sz w:val="24"/>
          <w:szCs w:val="24"/>
        </w:rPr>
      </w:pPr>
    </w:p>
    <w:p w14:paraId="0000000E" w14:textId="77777777" w:rsidR="00742FFC" w:rsidRDefault="007C4518">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bien jurídico colectivo vulnerado con la conducta anteriormente descripta es el ambiente, el cual posee un valor fundamental para todos los habitantes de la Nación y, en general, del planeta. En relación a ello, al art. 41 de la CN establece: “</w:t>
      </w:r>
      <w:r>
        <w:rPr>
          <w:rFonts w:ascii="Times New Roman" w:eastAsia="Times New Roman" w:hAnsi="Times New Roman" w:cs="Times New Roman"/>
          <w:i/>
          <w:color w:val="000000"/>
          <w:sz w:val="24"/>
          <w:szCs w:val="24"/>
        </w:rPr>
        <w:t>Todos los</w:t>
      </w:r>
      <w:r>
        <w:rPr>
          <w:rFonts w:ascii="Times New Roman" w:eastAsia="Times New Roman" w:hAnsi="Times New Roman" w:cs="Times New Roman"/>
          <w:i/>
          <w:color w:val="000000"/>
          <w:sz w:val="24"/>
          <w:szCs w:val="24"/>
        </w:rPr>
        <w:t xml:space="preserve"> habitantes </w:t>
      </w:r>
      <w:r>
        <w:rPr>
          <w:rFonts w:ascii="Times New Roman" w:eastAsia="Times New Roman" w:hAnsi="Times New Roman" w:cs="Times New Roman"/>
          <w:i/>
          <w:color w:val="000000"/>
          <w:sz w:val="24"/>
          <w:szCs w:val="24"/>
        </w:rPr>
        <w:lastRenderedPageBreak/>
        <w:t>gozan del derecho a un ambiente sano, equilibrado, apto para el desarrollo humano y para que las actividades productivas satisfagan las necesidades presentes sin comprometer las de las generaciones futuras; y tienen el deber de preservarlo”</w:t>
      </w:r>
      <w:r>
        <w:rPr>
          <w:rFonts w:ascii="Times New Roman" w:eastAsia="Times New Roman" w:hAnsi="Times New Roman" w:cs="Times New Roman"/>
          <w:color w:val="000000"/>
          <w:sz w:val="24"/>
          <w:szCs w:val="24"/>
        </w:rPr>
        <w:t>. Di</w:t>
      </w:r>
      <w:r>
        <w:rPr>
          <w:rFonts w:ascii="Times New Roman" w:eastAsia="Times New Roman" w:hAnsi="Times New Roman" w:cs="Times New Roman"/>
          <w:color w:val="000000"/>
          <w:sz w:val="24"/>
          <w:szCs w:val="24"/>
        </w:rPr>
        <w:t xml:space="preserve">cho bien jurídico recibe resguardo indirecto mediante las conductas tipificadas en la Ley 24051 de Residuos Peligrosos y el Código Penal. </w:t>
      </w:r>
    </w:p>
    <w:p w14:paraId="0000000F" w14:textId="0AA616C4"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cuanto a la Ley 24051, consideramos que las conductas anteriormente descriptas </w:t>
      </w:r>
      <w:r>
        <w:rPr>
          <w:rFonts w:ascii="Times New Roman" w:eastAsia="Times New Roman" w:hAnsi="Times New Roman" w:cs="Times New Roman"/>
          <w:sz w:val="24"/>
          <w:szCs w:val="24"/>
        </w:rPr>
        <w:t xml:space="preserve">encuadrarían, a primera vista, </w:t>
      </w:r>
      <w:r>
        <w:rPr>
          <w:rFonts w:ascii="Times New Roman" w:eastAsia="Times New Roman" w:hAnsi="Times New Roman" w:cs="Times New Roman"/>
          <w:color w:val="000000"/>
          <w:sz w:val="24"/>
          <w:szCs w:val="24"/>
        </w:rPr>
        <w:t>en l</w:t>
      </w:r>
      <w:r>
        <w:rPr>
          <w:rFonts w:ascii="Times New Roman" w:eastAsia="Times New Roman" w:hAnsi="Times New Roman" w:cs="Times New Roman"/>
          <w:color w:val="000000"/>
          <w:sz w:val="24"/>
          <w:szCs w:val="24"/>
        </w:rPr>
        <w:t>os siguientes tipos penales</w:t>
      </w:r>
      <w:r>
        <w:rPr>
          <w:rFonts w:ascii="Times New Roman" w:eastAsia="Times New Roman" w:hAnsi="Times New Roman" w:cs="Times New Roman"/>
          <w:color w:val="000000"/>
          <w:sz w:val="24"/>
          <w:szCs w:val="24"/>
          <w:highlight w:val="white"/>
        </w:rPr>
        <w:t xml:space="preserve">: Artículo 55: </w:t>
      </w:r>
      <w:r>
        <w:rPr>
          <w:rFonts w:ascii="Times New Roman" w:eastAsia="Times New Roman" w:hAnsi="Times New Roman" w:cs="Times New Roman"/>
          <w:i/>
          <w:color w:val="000000"/>
          <w:sz w:val="24"/>
          <w:szCs w:val="24"/>
          <w:highlight w:val="white"/>
        </w:rPr>
        <w:t>“Será reprimido con las mismas penas establecidas en el artículo 200 del Código Penal, el que, utilizando los residuos a que se refiere la presente ley, envenenare, adulterare o contaminare de un modo peligroso par</w:t>
      </w:r>
      <w:r>
        <w:rPr>
          <w:rFonts w:ascii="Times New Roman" w:eastAsia="Times New Roman" w:hAnsi="Times New Roman" w:cs="Times New Roman"/>
          <w:i/>
          <w:color w:val="000000"/>
          <w:sz w:val="24"/>
          <w:szCs w:val="24"/>
          <w:highlight w:val="white"/>
        </w:rPr>
        <w:t>a la salud, el suelo, el agua, la atmósfera o el ambiente en general</w:t>
      </w:r>
      <w:r>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i/>
          <w:color w:val="000000"/>
          <w:sz w:val="24"/>
          <w:szCs w:val="24"/>
          <w:highlight w:val="white"/>
        </w:rPr>
        <w:t xml:space="preserve"> Si el hecho fuere seguido de la muerte de alguna persona, la pena será de diez (10) a veinticinco (25) años de reclusión o prisión”</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Artículo 56: </w:t>
      </w:r>
      <w:r>
        <w:rPr>
          <w:rFonts w:ascii="Times New Roman" w:eastAsia="Times New Roman" w:hAnsi="Times New Roman" w:cs="Times New Roman"/>
          <w:i/>
          <w:color w:val="000000"/>
          <w:sz w:val="24"/>
          <w:szCs w:val="24"/>
          <w:highlight w:val="white"/>
        </w:rPr>
        <w:t>“Cuando alguno de los hechos previstos e</w:t>
      </w:r>
      <w:r>
        <w:rPr>
          <w:rFonts w:ascii="Times New Roman" w:eastAsia="Times New Roman" w:hAnsi="Times New Roman" w:cs="Times New Roman"/>
          <w:i/>
          <w:color w:val="000000"/>
          <w:sz w:val="24"/>
          <w:szCs w:val="24"/>
          <w:highlight w:val="white"/>
        </w:rPr>
        <w:t>n el artículo anterior fuere cometido por imprudencia o negligencia o por impericia en el propio arte o profesión o por inobservancia de los reglamentos u ordenanzas, se impondrá prisión de un (1) mes a dos (2) años.  Si resultare enfermedad o muerte de al</w:t>
      </w:r>
      <w:r>
        <w:rPr>
          <w:rFonts w:ascii="Times New Roman" w:eastAsia="Times New Roman" w:hAnsi="Times New Roman" w:cs="Times New Roman"/>
          <w:i/>
          <w:color w:val="000000"/>
          <w:sz w:val="24"/>
          <w:szCs w:val="24"/>
          <w:highlight w:val="white"/>
        </w:rPr>
        <w:t>guna persona, la pena será de seis (6) meses a tres (3) años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Artículo 57: “</w:t>
      </w:r>
      <w:r>
        <w:rPr>
          <w:rFonts w:ascii="Times New Roman" w:eastAsia="Times New Roman" w:hAnsi="Times New Roman" w:cs="Times New Roman"/>
          <w:i/>
          <w:color w:val="000000"/>
          <w:sz w:val="24"/>
          <w:szCs w:val="24"/>
          <w:highlight w:val="white"/>
        </w:rPr>
        <w:t xml:space="preserve">Cuando alguno de los hechos previstos en los dos artículos anteriores se hubiera producido por decisión de una </w:t>
      </w:r>
      <w:r>
        <w:rPr>
          <w:rFonts w:ascii="Times New Roman" w:eastAsia="Times New Roman" w:hAnsi="Times New Roman" w:cs="Times New Roman"/>
          <w:b/>
          <w:i/>
          <w:color w:val="000000"/>
          <w:sz w:val="24"/>
          <w:szCs w:val="24"/>
          <w:highlight w:val="white"/>
        </w:rPr>
        <w:t>persona jurídica</w:t>
      </w:r>
      <w:r>
        <w:rPr>
          <w:rFonts w:ascii="Times New Roman" w:eastAsia="Times New Roman" w:hAnsi="Times New Roman" w:cs="Times New Roman"/>
          <w:i/>
          <w:color w:val="000000"/>
          <w:sz w:val="24"/>
          <w:szCs w:val="24"/>
          <w:highlight w:val="white"/>
        </w:rPr>
        <w:t>, la pena se aplicará a los directores, gerentes, sí</w:t>
      </w:r>
      <w:r>
        <w:rPr>
          <w:rFonts w:ascii="Times New Roman" w:eastAsia="Times New Roman" w:hAnsi="Times New Roman" w:cs="Times New Roman"/>
          <w:i/>
          <w:color w:val="000000"/>
          <w:sz w:val="24"/>
          <w:szCs w:val="24"/>
          <w:highlight w:val="white"/>
        </w:rPr>
        <w:t>ndicos, miembros del consejo de vigilancia, administradores, mandatarios o, representantes de la misma que hubiesen intervenido en el hecho punible, sin perjuicio de las demás responsabilidades penales que pudiesen existir</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Por otro lado, debemos recalcar</w:t>
      </w:r>
      <w:r>
        <w:rPr>
          <w:rFonts w:ascii="Times New Roman" w:eastAsia="Times New Roman" w:hAnsi="Times New Roman" w:cs="Times New Roman"/>
          <w:color w:val="000000"/>
          <w:sz w:val="24"/>
          <w:szCs w:val="24"/>
          <w:highlight w:val="white"/>
        </w:rPr>
        <w:t xml:space="preserve"> que los productos utilizados para la actividad agrícola referida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se encuentran contemplados en el </w:t>
      </w:r>
      <w:r>
        <w:rPr>
          <w:rFonts w:ascii="Times New Roman" w:eastAsia="Times New Roman" w:hAnsi="Times New Roman" w:cs="Times New Roman"/>
          <w:b/>
          <w:color w:val="000000"/>
          <w:sz w:val="24"/>
          <w:szCs w:val="24"/>
          <w:highlight w:val="white"/>
        </w:rPr>
        <w:t xml:space="preserve">Anexo I </w:t>
      </w:r>
      <w:r>
        <w:rPr>
          <w:rFonts w:ascii="Times New Roman" w:eastAsia="Times New Roman" w:hAnsi="Times New Roman" w:cs="Times New Roman"/>
          <w:color w:val="000000"/>
          <w:sz w:val="24"/>
          <w:szCs w:val="24"/>
          <w:highlight w:val="white"/>
        </w:rPr>
        <w:t>de la citada ley: “</w:t>
      </w:r>
      <w:r>
        <w:rPr>
          <w:rFonts w:ascii="Times New Roman" w:eastAsia="Times New Roman" w:hAnsi="Times New Roman" w:cs="Times New Roman"/>
          <w:i/>
          <w:color w:val="000000"/>
          <w:sz w:val="24"/>
          <w:szCs w:val="24"/>
          <w:highlight w:val="white"/>
        </w:rPr>
        <w:t xml:space="preserve">Y4 Desechos resultantes de la producción, la preparación y utilización de biocidas y productos fitosanitario”, </w:t>
      </w:r>
      <w:r>
        <w:rPr>
          <w:rFonts w:ascii="Times New Roman" w:eastAsia="Times New Roman" w:hAnsi="Times New Roman" w:cs="Times New Roman"/>
          <w:color w:val="000000"/>
          <w:sz w:val="24"/>
          <w:szCs w:val="24"/>
          <w:highlight w:val="white"/>
        </w:rPr>
        <w:t xml:space="preserve">y/o en el Anexo II, bajo la </w:t>
      </w:r>
      <w:r w:rsidR="007E1731">
        <w:rPr>
          <w:rFonts w:ascii="Times New Roman" w:eastAsia="Times New Roman" w:hAnsi="Times New Roman" w:cs="Times New Roman"/>
          <w:color w:val="000000"/>
          <w:sz w:val="24"/>
          <w:szCs w:val="24"/>
          <w:highlight w:val="white"/>
        </w:rPr>
        <w:t>clase</w:t>
      </w:r>
      <w:r>
        <w:rPr>
          <w:rFonts w:ascii="Times New Roman" w:eastAsia="Times New Roman" w:hAnsi="Times New Roman" w:cs="Times New Roman"/>
          <w:color w:val="000000"/>
          <w:sz w:val="24"/>
          <w:szCs w:val="24"/>
          <w:highlight w:val="white"/>
        </w:rPr>
        <w:t xml:space="preserve"> </w:t>
      </w:r>
      <w:r w:rsidR="007E1731">
        <w:rPr>
          <w:rFonts w:ascii="Times New Roman" w:eastAsia="Times New Roman" w:hAnsi="Times New Roman" w:cs="Times New Roman"/>
          <w:color w:val="000000"/>
          <w:sz w:val="24"/>
          <w:szCs w:val="24"/>
          <w:highlight w:val="white"/>
        </w:rPr>
        <w:t xml:space="preserve">6.1, código "H6.1", y bajo la clase </w:t>
      </w:r>
      <w:r>
        <w:rPr>
          <w:rFonts w:ascii="Times New Roman" w:eastAsia="Times New Roman" w:hAnsi="Times New Roman" w:cs="Times New Roman"/>
          <w:color w:val="000000"/>
          <w:sz w:val="24"/>
          <w:szCs w:val="24"/>
          <w:highlight w:val="white"/>
        </w:rPr>
        <w:t>9,</w:t>
      </w:r>
      <w:r w:rsidR="007E1731">
        <w:rPr>
          <w:rFonts w:ascii="Times New Roman" w:eastAsia="Times New Roman" w:hAnsi="Times New Roman" w:cs="Times New Roman"/>
          <w:color w:val="000000"/>
          <w:sz w:val="24"/>
          <w:szCs w:val="24"/>
          <w:highlight w:val="white"/>
        </w:rPr>
        <w:t xml:space="preserve"> códigos "</w:t>
      </w:r>
      <w:r>
        <w:rPr>
          <w:rFonts w:ascii="Times New Roman" w:eastAsia="Times New Roman" w:hAnsi="Times New Roman" w:cs="Times New Roman"/>
          <w:color w:val="000000"/>
          <w:sz w:val="24"/>
          <w:szCs w:val="24"/>
          <w:highlight w:val="white"/>
        </w:rPr>
        <w:t>H11</w:t>
      </w:r>
      <w:r w:rsidR="007E173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y </w:t>
      </w:r>
      <w:r w:rsidR="007E173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H12</w:t>
      </w:r>
      <w:r w:rsidR="007E173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w:t>
      </w:r>
    </w:p>
    <w:p w14:paraId="00000010" w14:textId="77777777" w:rsidR="00742FFC" w:rsidRDefault="007C4518">
      <w:pPr>
        <w:spacing w:after="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 Subsidiariamente, estimamos aplicable la figura penal contemplada en el art. 200 del CP la </w:t>
      </w:r>
      <w:r>
        <w:rPr>
          <w:rFonts w:ascii="Times New Roman" w:eastAsia="Times New Roman" w:hAnsi="Times New Roman" w:cs="Times New Roman"/>
          <w:color w:val="000000"/>
          <w:sz w:val="24"/>
          <w:szCs w:val="24"/>
        </w:rPr>
        <w:t>cual prescribe: “</w:t>
      </w:r>
      <w:r>
        <w:rPr>
          <w:rFonts w:ascii="Times New Roman" w:eastAsia="Times New Roman" w:hAnsi="Times New Roman" w:cs="Times New Roman"/>
          <w:i/>
          <w:color w:val="000000"/>
          <w:sz w:val="24"/>
          <w:szCs w:val="24"/>
        </w:rPr>
        <w:t xml:space="preserve">Será reprimido con reclusión o prisión de TRES (3) a DIEZ (10) años y multa de PESOS DIEZ MIL ($ 10.000) a PESOS DOSCIENTOS MIL ($ 200.000), el que envenenare, adulterare o falsificare de un modo </w:t>
      </w:r>
      <w:r>
        <w:rPr>
          <w:rFonts w:ascii="Times New Roman" w:eastAsia="Times New Roman" w:hAnsi="Times New Roman" w:cs="Times New Roman"/>
          <w:i/>
          <w:color w:val="000000"/>
          <w:sz w:val="24"/>
          <w:szCs w:val="24"/>
          <w:highlight w:val="white"/>
        </w:rPr>
        <w:t>peligroso para la salud, aguas potables o s</w:t>
      </w:r>
      <w:r>
        <w:rPr>
          <w:rFonts w:ascii="Times New Roman" w:eastAsia="Times New Roman" w:hAnsi="Times New Roman" w:cs="Times New Roman"/>
          <w:i/>
          <w:color w:val="000000"/>
          <w:sz w:val="24"/>
          <w:szCs w:val="24"/>
          <w:highlight w:val="white"/>
        </w:rPr>
        <w:t>ustancias alimenticias o medicinales destinadas al uso público o al consumo de una colectividad de personas</w:t>
      </w:r>
      <w:r>
        <w:rPr>
          <w:rFonts w:ascii="Times New Roman" w:eastAsia="Times New Roman" w:hAnsi="Times New Roman" w:cs="Times New Roman"/>
          <w:color w:val="000000"/>
          <w:sz w:val="24"/>
          <w:szCs w:val="24"/>
          <w:highlight w:val="white"/>
        </w:rPr>
        <w:t xml:space="preserve">” Art. 207 CP: </w:t>
      </w:r>
      <w:r>
        <w:rPr>
          <w:rFonts w:ascii="Times New Roman" w:eastAsia="Times New Roman" w:hAnsi="Times New Roman" w:cs="Times New Roman"/>
          <w:i/>
          <w:color w:val="000000"/>
          <w:sz w:val="24"/>
          <w:szCs w:val="24"/>
          <w:highlight w:val="white"/>
        </w:rPr>
        <w:t>En el caso de condenación por un delito previsto en este Capítulo, el culpable, si fuere funcionario público o ejerciere alguna profes</w:t>
      </w:r>
      <w:r>
        <w:rPr>
          <w:rFonts w:ascii="Times New Roman" w:eastAsia="Times New Roman" w:hAnsi="Times New Roman" w:cs="Times New Roman"/>
          <w:i/>
          <w:color w:val="000000"/>
          <w:sz w:val="24"/>
          <w:szCs w:val="24"/>
          <w:highlight w:val="white"/>
        </w:rPr>
        <w:t xml:space="preserve">ión o arte, sufrirá, además, inhabilitación especial por doble tiempo del de </w:t>
      </w:r>
      <w:r>
        <w:rPr>
          <w:rFonts w:ascii="Times New Roman" w:eastAsia="Times New Roman" w:hAnsi="Times New Roman" w:cs="Times New Roman"/>
          <w:i/>
          <w:color w:val="000000"/>
          <w:sz w:val="24"/>
          <w:szCs w:val="24"/>
          <w:highlight w:val="white"/>
        </w:rPr>
        <w:lastRenderedPageBreak/>
        <w:t xml:space="preserve">la condena. Si la pena impuesta fuere la de multa, la inhabilitación especial durará de un mes a un año”. </w:t>
      </w:r>
    </w:p>
    <w:p w14:paraId="00000011"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Dichas calificaciones penales propuestas, no obstan a cualquier otro tip</w:t>
      </w:r>
      <w:r>
        <w:rPr>
          <w:rFonts w:ascii="Times New Roman" w:eastAsia="Times New Roman" w:hAnsi="Times New Roman" w:cs="Times New Roman"/>
          <w:sz w:val="24"/>
          <w:szCs w:val="24"/>
        </w:rPr>
        <w:t>o penal que pudiera corresponder, conforme a su más elevado criterio.</w:t>
      </w:r>
    </w:p>
    <w:p w14:paraId="00000012" w14:textId="77777777" w:rsidR="00742FFC" w:rsidRDefault="00742FFC">
      <w:pPr>
        <w:spacing w:after="0" w:line="360" w:lineRule="auto"/>
        <w:ind w:firstLine="720"/>
        <w:jc w:val="both"/>
        <w:rPr>
          <w:rFonts w:ascii="Times New Roman" w:eastAsia="Times New Roman" w:hAnsi="Times New Roman" w:cs="Times New Roman"/>
          <w:sz w:val="24"/>
          <w:szCs w:val="24"/>
        </w:rPr>
      </w:pPr>
    </w:p>
    <w:p w14:paraId="00000013"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CONSTITUCIÓN EN QUERELLANTE PARTICULAR:</w:t>
      </w:r>
    </w:p>
    <w:p w14:paraId="00000014" w14:textId="77777777" w:rsidR="00742FFC" w:rsidRDefault="007C451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En función de lo previsto en los arts. 7, 91 y concordantes del CPP, en tiempo y forma vengo a solicitar me tenga como querellante partic</w:t>
      </w:r>
      <w:r>
        <w:rPr>
          <w:rFonts w:ascii="Times New Roman" w:eastAsia="Times New Roman" w:hAnsi="Times New Roman" w:cs="Times New Roman"/>
          <w:color w:val="000000"/>
          <w:sz w:val="24"/>
          <w:szCs w:val="24"/>
        </w:rPr>
        <w:t xml:space="preserve">ular en la causa de mención, a mérito de los argumentos que a continuación expondré. </w:t>
      </w:r>
    </w:p>
    <w:p w14:paraId="00000015" w14:textId="77777777" w:rsidR="00742FFC" w:rsidRDefault="007C4518">
      <w:pPr>
        <w:spacing w:after="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El código de rito provincial, de manera acotada, establece que sólo podrá constituirse como querellante particular: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El ofendido penalmente por un delito de acción pública, sus herederos forzosos, representantes legales o mandatario” </w:t>
      </w:r>
      <w:r>
        <w:rPr>
          <w:rFonts w:ascii="Times New Roman" w:eastAsia="Times New Roman" w:hAnsi="Times New Roman" w:cs="Times New Roman"/>
          <w:color w:val="000000"/>
          <w:sz w:val="24"/>
          <w:szCs w:val="24"/>
        </w:rPr>
        <w:t>(art. 7)</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Desde este p</w:t>
      </w:r>
      <w:r>
        <w:rPr>
          <w:rFonts w:ascii="Times New Roman" w:eastAsia="Times New Roman" w:hAnsi="Times New Roman" w:cs="Times New Roman"/>
          <w:color w:val="000000"/>
          <w:sz w:val="24"/>
          <w:szCs w:val="24"/>
        </w:rPr>
        <w:t xml:space="preserve">unto de vista, el ofendido es quien porta en el contexto concreto el bien jurídico protegido por la norma penal de prohibición o de mandato presuntamente infringida (MAIER, Julio B.J. Derecho Procesal Penal –II Parte General. Sujetos procesales-, Editores </w:t>
      </w:r>
      <w:r>
        <w:rPr>
          <w:rFonts w:ascii="Times New Roman" w:eastAsia="Times New Roman" w:hAnsi="Times New Roman" w:cs="Times New Roman"/>
          <w:color w:val="000000"/>
          <w:sz w:val="24"/>
          <w:szCs w:val="24"/>
        </w:rPr>
        <w:t>del Puerto, Bs. As., 2003, p. 681) distinguiéndose de la “víctima” como sujeto pasivo del delito, es decir, quien sufre el perjuicio en su persona o el menoscabo patrimonial</w:t>
      </w:r>
    </w:p>
    <w:p w14:paraId="00000016" w14:textId="77777777" w:rsidR="00742FFC" w:rsidRDefault="007C4518">
      <w:pPr>
        <w:spacing w:after="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No obstante dicha previsión, la extensión del concepto de querellante particular d</w:t>
      </w:r>
      <w:r>
        <w:rPr>
          <w:rFonts w:ascii="Times New Roman" w:eastAsia="Times New Roman" w:hAnsi="Times New Roman" w:cs="Times New Roman"/>
          <w:color w:val="000000"/>
          <w:sz w:val="24"/>
          <w:szCs w:val="24"/>
        </w:rPr>
        <w:t xml:space="preserve">ebe analizarse a la luz del ordenamiento jurídico constitucional, máxime cuando, conforme a la plataforma fáctica relata </w:t>
      </w:r>
      <w:r>
        <w:rPr>
          <w:rFonts w:ascii="Times New Roman" w:eastAsia="Times New Roman" w:hAnsi="Times New Roman" w:cs="Times New Roman"/>
          <w:i/>
          <w:color w:val="000000"/>
          <w:sz w:val="24"/>
          <w:szCs w:val="24"/>
        </w:rPr>
        <w:t xml:space="preserve">supra, </w:t>
      </w:r>
      <w:r>
        <w:rPr>
          <w:rFonts w:ascii="Times New Roman" w:eastAsia="Times New Roman" w:hAnsi="Times New Roman" w:cs="Times New Roman"/>
          <w:color w:val="000000"/>
          <w:sz w:val="24"/>
          <w:szCs w:val="24"/>
        </w:rPr>
        <w:t xml:space="preserve">se encuentra involucrada una cuestión ambiental. </w:t>
      </w:r>
    </w:p>
    <w:p w14:paraId="00000017" w14:textId="77777777" w:rsidR="00742FFC" w:rsidRDefault="007C4518">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cuanto normativa de rango constitucional aplicable,</w:t>
      </w:r>
      <w:r>
        <w:rPr>
          <w:rFonts w:ascii="Times New Roman" w:eastAsia="Times New Roman" w:hAnsi="Times New Roman" w:cs="Times New Roman"/>
          <w:color w:val="000000"/>
          <w:sz w:val="24"/>
          <w:szCs w:val="24"/>
          <w:highlight w:val="white"/>
        </w:rPr>
        <w:t xml:space="preserve"> la reforma de 1994 inco</w:t>
      </w:r>
      <w:r>
        <w:rPr>
          <w:rFonts w:ascii="Times New Roman" w:eastAsia="Times New Roman" w:hAnsi="Times New Roman" w:cs="Times New Roman"/>
          <w:color w:val="000000"/>
          <w:sz w:val="24"/>
          <w:szCs w:val="24"/>
          <w:highlight w:val="white"/>
        </w:rPr>
        <w:t>rporó, con jerarquía constitucional, diversos tratados internacionales entre los cuales se destaca la Convención Americana de Derechos Humanos. Este documento prevé nuevos derechos y garantías para la víctima del delito: acceso a la jurisdicción (art. 8.1)</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y la tutela judicial efectiva (art. 25); de las cuales se desprende que la misma tiene </w:t>
      </w:r>
      <w:r>
        <w:rPr>
          <w:rFonts w:ascii="Times New Roman" w:eastAsia="Times New Roman" w:hAnsi="Times New Roman" w:cs="Times New Roman"/>
          <w:color w:val="000000"/>
          <w:sz w:val="24"/>
          <w:szCs w:val="24"/>
        </w:rPr>
        <w:t>una intervención relevante en el proceso penal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En relación a dicha normativa internacional, la Corte Suprema de Justicia de la Nación en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Bramajo</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(fallos 319:1840) 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Giroldi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(fallos 318:314) precisó, respectivamente, que tanto la opinión de la Comisión Interamericana como la jurisprudencia de la Corte Interamericana </w:t>
      </w:r>
      <w:r>
        <w:rPr>
          <w:rFonts w:ascii="Times New Roman" w:eastAsia="Times New Roman" w:hAnsi="Times New Roman" w:cs="Times New Roman"/>
          <w:i/>
          <w:color w:val="000000"/>
          <w:sz w:val="24"/>
          <w:szCs w:val="24"/>
        </w:rPr>
        <w:t>“debe servir de guía para la interpretación de los preceptos convencionales.”</w:t>
      </w:r>
      <w:r>
        <w:rPr>
          <w:rFonts w:ascii="Times New Roman" w:eastAsia="Times New Roman" w:hAnsi="Times New Roman" w:cs="Times New Roman"/>
          <w:color w:val="000000"/>
          <w:sz w:val="24"/>
          <w:szCs w:val="24"/>
        </w:rPr>
        <w:t xml:space="preserve"> Por otra parte, la Cort</w:t>
      </w:r>
      <w:r>
        <w:rPr>
          <w:rFonts w:ascii="Times New Roman" w:eastAsia="Times New Roman" w:hAnsi="Times New Roman" w:cs="Times New Roman"/>
          <w:color w:val="000000"/>
          <w:sz w:val="24"/>
          <w:szCs w:val="24"/>
        </w:rPr>
        <w:t xml:space="preserve">e Interamericana de Derechos Humanos en </w:t>
      </w:r>
      <w:r>
        <w:rPr>
          <w:rFonts w:ascii="Times New Roman" w:eastAsia="Times New Roman" w:hAnsi="Times New Roman" w:cs="Times New Roman"/>
          <w:b/>
          <w:color w:val="000000"/>
          <w:sz w:val="24"/>
          <w:szCs w:val="24"/>
        </w:rPr>
        <w:t>“Almonacid Arellano y otros vs. Gobierno de Chile”</w:t>
      </w:r>
      <w:r>
        <w:rPr>
          <w:rFonts w:ascii="Times New Roman" w:eastAsia="Times New Roman" w:hAnsi="Times New Roman" w:cs="Times New Roman"/>
          <w:color w:val="000000"/>
          <w:sz w:val="24"/>
          <w:szCs w:val="24"/>
        </w:rPr>
        <w:t xml:space="preserve"> (26/09/2006), puntualizó que: "</w:t>
      </w:r>
      <w:r>
        <w:rPr>
          <w:rFonts w:ascii="Times New Roman" w:eastAsia="Times New Roman" w:hAnsi="Times New Roman" w:cs="Times New Roman"/>
          <w:i/>
          <w:color w:val="000000"/>
          <w:sz w:val="24"/>
          <w:szCs w:val="24"/>
        </w:rPr>
        <w:t xml:space="preserve">El Poder Judicial debe tener en cuenta no </w:t>
      </w:r>
      <w:r>
        <w:rPr>
          <w:rFonts w:ascii="Times New Roman" w:eastAsia="Times New Roman" w:hAnsi="Times New Roman" w:cs="Times New Roman"/>
          <w:i/>
          <w:color w:val="000000"/>
          <w:sz w:val="24"/>
          <w:szCs w:val="24"/>
        </w:rPr>
        <w:lastRenderedPageBreak/>
        <w:t>solamente el tratado, sino también la interpretación que del mismo ha hecho la Corte Interam</w:t>
      </w:r>
      <w:r>
        <w:rPr>
          <w:rFonts w:ascii="Times New Roman" w:eastAsia="Times New Roman" w:hAnsi="Times New Roman" w:cs="Times New Roman"/>
          <w:i/>
          <w:color w:val="000000"/>
          <w:sz w:val="24"/>
          <w:szCs w:val="24"/>
        </w:rPr>
        <w:t>ericana, intérprete última de la Convención Americana</w:t>
      </w:r>
      <w:r>
        <w:rPr>
          <w:rFonts w:ascii="Times New Roman" w:eastAsia="Times New Roman" w:hAnsi="Times New Roman" w:cs="Times New Roman"/>
          <w:color w:val="000000"/>
          <w:sz w:val="24"/>
          <w:szCs w:val="24"/>
        </w:rPr>
        <w:t>". Estas mismas palabras han sido reproducidas por la Corte Suprema en “</w:t>
      </w:r>
      <w:proofErr w:type="spellStart"/>
      <w:r>
        <w:rPr>
          <w:rFonts w:ascii="Times New Roman" w:eastAsia="Times New Roman" w:hAnsi="Times New Roman" w:cs="Times New Roman"/>
          <w:b/>
          <w:color w:val="000000"/>
          <w:sz w:val="24"/>
          <w:szCs w:val="24"/>
        </w:rPr>
        <w:t>Mazzeo</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(Fallos: 330:3248). De ello se desprende que no solo tienen carácter vinculante los instrumentos internacionales sino tambi</w:t>
      </w:r>
      <w:r>
        <w:rPr>
          <w:rFonts w:ascii="Times New Roman" w:eastAsia="Times New Roman" w:hAnsi="Times New Roman" w:cs="Times New Roman"/>
          <w:color w:val="000000"/>
          <w:sz w:val="24"/>
          <w:szCs w:val="24"/>
        </w:rPr>
        <w:t>én a la interpretación que de las mismas han hecho los órganos internacionales correspondientes.</w:t>
      </w:r>
    </w:p>
    <w:p w14:paraId="00000018"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su parte, la Declaración sobre los principios fundamentales de justicia para las víctimas de delitos y del abuso de poder, adoptada por la Asamblea General de la ONU mediante Resolución 40/34, del 29 de noviembre de 1985 definió de manera amplia:</w:t>
      </w:r>
      <w:r>
        <w:rPr>
          <w:rFonts w:ascii="Times New Roman" w:eastAsia="Times New Roman" w:hAnsi="Times New Roman" w:cs="Times New Roman"/>
          <w:i/>
          <w:color w:val="000000"/>
          <w:sz w:val="24"/>
          <w:szCs w:val="24"/>
        </w:rPr>
        <w:t xml:space="preserve"> “Las </w:t>
      </w:r>
      <w:r>
        <w:rPr>
          <w:rFonts w:ascii="Times New Roman" w:eastAsia="Times New Roman" w:hAnsi="Times New Roman" w:cs="Times New Roman"/>
          <w:i/>
          <w:color w:val="000000"/>
          <w:sz w:val="24"/>
          <w:szCs w:val="24"/>
        </w:rPr>
        <w:t>víctimas de delitos: 1. Se entenderá por "víctimas" las personas que, individual o colectivamente, hayan sufrido daños, inclusive lesiones físicas o mentales, sufrimiento emocional, pérdida financiera o menoscabo sustancial de los derechos fundamentales, c</w:t>
      </w:r>
      <w:r>
        <w:rPr>
          <w:rFonts w:ascii="Times New Roman" w:eastAsia="Times New Roman" w:hAnsi="Times New Roman" w:cs="Times New Roman"/>
          <w:i/>
          <w:color w:val="000000"/>
          <w:sz w:val="24"/>
          <w:szCs w:val="24"/>
        </w:rPr>
        <w:t>omo consecuencia de acciones u omisiones que violen la legislación penal vigente en los Estados Miembros, incluida la que proscribe el abuso de poder.(…) En la expresión "víctima" se incluye además, en su caso, a los familiares o personas a cargo que tenga</w:t>
      </w:r>
      <w:r>
        <w:rPr>
          <w:rFonts w:ascii="Times New Roman" w:eastAsia="Times New Roman" w:hAnsi="Times New Roman" w:cs="Times New Roman"/>
          <w:i/>
          <w:color w:val="000000"/>
          <w:sz w:val="24"/>
          <w:szCs w:val="24"/>
        </w:rPr>
        <w:t>n relación inmediata con la víctima directa y a las personas que hayan sufrido daños al intervenir para asistir a la víctima en peligro o para prevenir la victimización.”</w:t>
      </w:r>
      <w:r>
        <w:rPr>
          <w:rFonts w:ascii="Times New Roman" w:eastAsia="Times New Roman" w:hAnsi="Times New Roman" w:cs="Times New Roman"/>
          <w:color w:val="000000"/>
          <w:sz w:val="24"/>
          <w:szCs w:val="24"/>
        </w:rPr>
        <w:t xml:space="preserve"> </w:t>
      </w:r>
    </w:p>
    <w:p w14:paraId="00000019" w14:textId="77777777" w:rsidR="00742FFC" w:rsidRDefault="007C4518">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Conforme a una interpretación dinámica del derecho vigente, que se compadezca con e</w:t>
      </w:r>
      <w:r>
        <w:rPr>
          <w:rFonts w:ascii="Times New Roman" w:eastAsia="Times New Roman" w:hAnsi="Times New Roman" w:cs="Times New Roman"/>
          <w:color w:val="000000"/>
          <w:sz w:val="24"/>
          <w:szCs w:val="24"/>
        </w:rPr>
        <w:t xml:space="preserve">l ordenamiento jurídico internacional, se debe adoptar un </w:t>
      </w:r>
      <w:r>
        <w:rPr>
          <w:rFonts w:ascii="Times New Roman" w:eastAsia="Times New Roman" w:hAnsi="Times New Roman" w:cs="Times New Roman"/>
          <w:b/>
          <w:color w:val="000000"/>
          <w:sz w:val="24"/>
          <w:szCs w:val="24"/>
        </w:rPr>
        <w:t>criterio de interpretación amplio de la norma en cuestión</w:t>
      </w:r>
      <w:r>
        <w:rPr>
          <w:rFonts w:ascii="Times New Roman" w:eastAsia="Times New Roman" w:hAnsi="Times New Roman" w:cs="Times New Roman"/>
          <w:color w:val="000000"/>
          <w:sz w:val="24"/>
          <w:szCs w:val="24"/>
        </w:rPr>
        <w:t>, que respete los derechos de tutela judicial efectiva y acceso a la jurisdicción. Al respecto, el Tribunal Superior de Justicia de Córdoba e</w:t>
      </w:r>
      <w:r>
        <w:rPr>
          <w:rFonts w:ascii="Times New Roman" w:eastAsia="Times New Roman" w:hAnsi="Times New Roman" w:cs="Times New Roman"/>
          <w:color w:val="000000"/>
          <w:sz w:val="24"/>
          <w:szCs w:val="24"/>
        </w:rPr>
        <w:t>n “</w:t>
      </w:r>
      <w:proofErr w:type="spellStart"/>
      <w:r>
        <w:rPr>
          <w:rFonts w:ascii="Times New Roman" w:eastAsia="Times New Roman" w:hAnsi="Times New Roman" w:cs="Times New Roman"/>
          <w:b/>
          <w:color w:val="000000"/>
          <w:sz w:val="24"/>
          <w:szCs w:val="24"/>
        </w:rPr>
        <w:t>Belluzo</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(sentencia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271 del 19/10/2009) sentó que, una interpretación sistemática del ordenamiento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posibilita trasvasar al proceso penal la directriz constitucional sobre sujetos legitimados a interponer una acción de amparo, en los casos de derecho</w:t>
      </w:r>
      <w:r>
        <w:rPr>
          <w:rFonts w:ascii="Times New Roman" w:eastAsia="Times New Roman" w:hAnsi="Times New Roman" w:cs="Times New Roman"/>
          <w:color w:val="000000"/>
          <w:sz w:val="24"/>
          <w:szCs w:val="24"/>
        </w:rPr>
        <w:t>s de incidencia colectiva (art. 43 CN)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En ese sentido, a fin de dar una adecuada tutela a los intereses en juego, resolvió reconocer amplia legitimación para constituirse como querellante particular a las </w:t>
      </w:r>
      <w:r>
        <w:rPr>
          <w:rFonts w:ascii="Times New Roman" w:eastAsia="Times New Roman" w:hAnsi="Times New Roman" w:cs="Times New Roman"/>
          <w:b/>
          <w:color w:val="000000"/>
          <w:sz w:val="24"/>
          <w:szCs w:val="24"/>
        </w:rPr>
        <w:t>asociaciones intermedias</w:t>
      </w:r>
      <w:r>
        <w:rPr>
          <w:rFonts w:ascii="Times New Roman" w:eastAsia="Times New Roman" w:hAnsi="Times New Roman" w:cs="Times New Roman"/>
          <w:color w:val="000000"/>
          <w:sz w:val="24"/>
          <w:szCs w:val="24"/>
        </w:rPr>
        <w:t xml:space="preserve"> en aquellos casos en que</w:t>
      </w:r>
      <w:r>
        <w:rPr>
          <w:rFonts w:ascii="Times New Roman" w:eastAsia="Times New Roman" w:hAnsi="Times New Roman" w:cs="Times New Roman"/>
          <w:color w:val="000000"/>
          <w:sz w:val="24"/>
          <w:szCs w:val="24"/>
        </w:rPr>
        <w:t xml:space="preserve">, la conducta perseguida, vulnere el bien jurídico cuya protección aquéllas propenden. En </w:t>
      </w:r>
      <w:r>
        <w:rPr>
          <w:rFonts w:ascii="Times New Roman" w:eastAsia="Times New Roman" w:hAnsi="Times New Roman" w:cs="Times New Roman"/>
          <w:b/>
          <w:color w:val="000000"/>
          <w:sz w:val="24"/>
          <w:szCs w:val="24"/>
        </w:rPr>
        <w:t xml:space="preserve">"Denuncia formulada por </w:t>
      </w:r>
      <w:proofErr w:type="spellStart"/>
      <w:r>
        <w:rPr>
          <w:rFonts w:ascii="Times New Roman" w:eastAsia="Times New Roman" w:hAnsi="Times New Roman" w:cs="Times New Roman"/>
          <w:b/>
          <w:color w:val="000000"/>
          <w:sz w:val="24"/>
          <w:szCs w:val="24"/>
        </w:rPr>
        <w:t>Belloti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4"/>
          <w:szCs w:val="24"/>
        </w:rPr>
        <w:t xml:space="preserve">(Sentencia.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92, 24/6/2007) amplió aún más el abanico de posibles acusadores privados ya que se admitió la intervención en tal cará</w:t>
      </w:r>
      <w:r>
        <w:rPr>
          <w:rFonts w:ascii="Times New Roman" w:eastAsia="Times New Roman" w:hAnsi="Times New Roman" w:cs="Times New Roman"/>
          <w:color w:val="000000"/>
          <w:sz w:val="24"/>
          <w:szCs w:val="24"/>
        </w:rPr>
        <w:t xml:space="preserve">cter de </w:t>
      </w:r>
      <w:r>
        <w:rPr>
          <w:rFonts w:ascii="Times New Roman" w:eastAsia="Times New Roman" w:hAnsi="Times New Roman" w:cs="Times New Roman"/>
          <w:b/>
          <w:color w:val="000000"/>
          <w:sz w:val="24"/>
          <w:szCs w:val="24"/>
        </w:rPr>
        <w:t>asociaciones sindicales</w:t>
      </w:r>
      <w:r>
        <w:rPr>
          <w:rFonts w:ascii="Times New Roman" w:eastAsia="Times New Roman" w:hAnsi="Times New Roman" w:cs="Times New Roman"/>
          <w:color w:val="000000"/>
          <w:sz w:val="24"/>
          <w:szCs w:val="24"/>
        </w:rPr>
        <w:t>, en aquellos casos en los que el delito investigado afecta la esfera de los intereses de sus representados.</w:t>
      </w:r>
    </w:p>
    <w:p w14:paraId="0000001A" w14:textId="77777777" w:rsidR="00742FFC" w:rsidRDefault="007C451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Luego, en </w:t>
      </w:r>
      <w:proofErr w:type="spellStart"/>
      <w:r>
        <w:rPr>
          <w:rFonts w:ascii="Times New Roman" w:eastAsia="Times New Roman" w:hAnsi="Times New Roman" w:cs="Times New Roman"/>
          <w:b/>
          <w:color w:val="000000"/>
          <w:sz w:val="24"/>
          <w:szCs w:val="24"/>
        </w:rPr>
        <w:t>Anuzis</w:t>
      </w:r>
      <w:proofErr w:type="spellEnd"/>
      <w:r>
        <w:rPr>
          <w:rFonts w:ascii="Times New Roman" w:eastAsia="Times New Roman" w:hAnsi="Times New Roman" w:cs="Times New Roman"/>
          <w:color w:val="000000"/>
          <w:sz w:val="24"/>
          <w:szCs w:val="24"/>
        </w:rPr>
        <w:t xml:space="preserve"> (sentencia </w:t>
      </w:r>
      <w:proofErr w:type="spellStart"/>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409 del 15/09/2017) el mismo tribunal legitimó la intervención como querellante parti</w:t>
      </w:r>
      <w:r>
        <w:rPr>
          <w:rFonts w:ascii="Times New Roman" w:eastAsia="Times New Roman" w:hAnsi="Times New Roman" w:cs="Times New Roman"/>
          <w:color w:val="000000"/>
          <w:sz w:val="24"/>
          <w:szCs w:val="24"/>
        </w:rPr>
        <w:t xml:space="preserve">cular del </w:t>
      </w:r>
      <w:r>
        <w:rPr>
          <w:rFonts w:ascii="Times New Roman" w:eastAsia="Times New Roman" w:hAnsi="Times New Roman" w:cs="Times New Roman"/>
          <w:b/>
          <w:color w:val="000000"/>
          <w:sz w:val="24"/>
          <w:szCs w:val="24"/>
        </w:rPr>
        <w:t>afectado</w:t>
      </w:r>
      <w:r>
        <w:rPr>
          <w:rFonts w:ascii="Times New Roman" w:eastAsia="Times New Roman" w:hAnsi="Times New Roman" w:cs="Times New Roman"/>
          <w:color w:val="000000"/>
          <w:sz w:val="24"/>
          <w:szCs w:val="24"/>
        </w:rPr>
        <w:t xml:space="preserve">. Especificó que dicho concepto </w:t>
      </w:r>
      <w:r>
        <w:rPr>
          <w:rFonts w:ascii="Times New Roman" w:eastAsia="Times New Roman" w:hAnsi="Times New Roman" w:cs="Times New Roman"/>
          <w:color w:val="000000"/>
          <w:sz w:val="24"/>
          <w:szCs w:val="24"/>
        </w:rPr>
        <w:lastRenderedPageBreak/>
        <w:t>no se identifica con el de ofendido penal, sino que es un concepto más extenso que incluye a sujetos que no ingresarían en el art. 7 del CPP</w:t>
      </w:r>
      <w:r>
        <w:rPr>
          <w:rFonts w:ascii="Times New Roman" w:eastAsia="Times New Roman" w:hAnsi="Times New Roman" w:cs="Times New Roman"/>
          <w:sz w:val="24"/>
          <w:szCs w:val="24"/>
        </w:rPr>
        <w:t>. El afectado es aquel que, en relación a los intereses de inciden</w:t>
      </w:r>
      <w:r>
        <w:rPr>
          <w:rFonts w:ascii="Times New Roman" w:eastAsia="Times New Roman" w:hAnsi="Times New Roman" w:cs="Times New Roman"/>
          <w:sz w:val="24"/>
          <w:szCs w:val="24"/>
        </w:rPr>
        <w:t xml:space="preserve">cia colectiva, detenta un interés concreto y diferenciado, que lo coloca en una situación distinta a aquella en que se encuentra “toda persona” </w:t>
      </w:r>
      <w:r>
        <w:rPr>
          <w:rFonts w:ascii="Times New Roman" w:eastAsia="Times New Roman" w:hAnsi="Times New Roman" w:cs="Times New Roman"/>
          <w:color w:val="000000"/>
          <w:sz w:val="24"/>
          <w:szCs w:val="24"/>
        </w:rPr>
        <w:t>que detente un interés simple o común de cualquier ciudadano en la observancia del orden jurídico.</w:t>
      </w:r>
    </w:p>
    <w:p w14:paraId="0000001B"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su vez, en </w:t>
      </w:r>
      <w:r>
        <w:rPr>
          <w:rFonts w:ascii="Times New Roman" w:eastAsia="Times New Roman" w:hAnsi="Times New Roman" w:cs="Times New Roman"/>
          <w:color w:val="000000"/>
          <w:sz w:val="24"/>
          <w:szCs w:val="24"/>
        </w:rPr>
        <w:t xml:space="preserve">relación a la protección del medio ambiente existen instrumentos de carácter internacional que facultan u ordenan la pretendida participación. La Carta Mundial de la Naturaleza adoptada por resolución 37/7 de la Asamblea General de las Naciones Unidas del </w:t>
      </w:r>
      <w:r>
        <w:rPr>
          <w:rFonts w:ascii="Times New Roman" w:eastAsia="Times New Roman" w:hAnsi="Times New Roman" w:cs="Times New Roman"/>
          <w:color w:val="000000"/>
          <w:sz w:val="24"/>
          <w:szCs w:val="24"/>
        </w:rPr>
        <w:t>año 1982, prescribe en su art. 23 que “Toda persona, de conformidad con la legislación nacional, tendrá la oportunidad de participar, individual o colectivamente, en el proceso de preparación de las decisiones que conciernen directamente a su medio ambient</w:t>
      </w:r>
      <w:r>
        <w:rPr>
          <w:rFonts w:ascii="Times New Roman" w:eastAsia="Times New Roman" w:hAnsi="Times New Roman" w:cs="Times New Roman"/>
          <w:color w:val="000000"/>
          <w:sz w:val="24"/>
          <w:szCs w:val="24"/>
        </w:rPr>
        <w:t>e y, cuando éste haya sido objeto de daño o deterioro, podrá ejercer los recursos necesarios para obtener una indemnización.” Y en su art. 24 que “Incumbe a toda persona actuar de conformidad con lo dispuesto en la presente Carta; toda persona actuando ind</w:t>
      </w:r>
      <w:r>
        <w:rPr>
          <w:rFonts w:ascii="Times New Roman" w:eastAsia="Times New Roman" w:hAnsi="Times New Roman" w:cs="Times New Roman"/>
          <w:color w:val="000000"/>
          <w:sz w:val="24"/>
          <w:szCs w:val="24"/>
        </w:rPr>
        <w:t xml:space="preserve">ividual o colectivamente, o en el marco de su participación en la vida política, procurará que se alcancen y se observen los objetivos y las disposiciones de la presente Carta”. Del mismo modo, las declaraciones de Estocolmo sobre el Medio Ambiente Humano </w:t>
      </w:r>
      <w:r>
        <w:rPr>
          <w:rFonts w:ascii="Times New Roman" w:eastAsia="Times New Roman" w:hAnsi="Times New Roman" w:cs="Times New Roman"/>
          <w:color w:val="000000"/>
          <w:sz w:val="24"/>
          <w:szCs w:val="24"/>
        </w:rPr>
        <w:t>del año 1972, de Río sobre el Medio Ambiente y el Desarrollo de 1992, procuran la participación en los procedimientos judiciales relacionados a cuestiones ambientales. Así, el principio 10 de la Declaración de Río de Janeiro establece que “(…) Deberá propo</w:t>
      </w:r>
      <w:r>
        <w:rPr>
          <w:rFonts w:ascii="Times New Roman" w:eastAsia="Times New Roman" w:hAnsi="Times New Roman" w:cs="Times New Roman"/>
          <w:color w:val="000000"/>
          <w:sz w:val="24"/>
          <w:szCs w:val="24"/>
        </w:rPr>
        <w:t>rcionarse acceso efectivo a los procedimientos judiciales y administrativos, entre éstos el resarcimiento de daños y los recursos pertinentes.”</w:t>
      </w:r>
    </w:p>
    <w:p w14:paraId="0000001C"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Que el interés en constituirnos como querellantes particulares se fundamenta en nuestra calidad de </w:t>
      </w:r>
      <w:r>
        <w:rPr>
          <w:rFonts w:ascii="Times New Roman" w:eastAsia="Times New Roman" w:hAnsi="Times New Roman" w:cs="Times New Roman"/>
          <w:color w:val="FF0000"/>
          <w:sz w:val="24"/>
          <w:szCs w:val="24"/>
        </w:rPr>
        <w:t>[</w:t>
      </w:r>
      <w:r>
        <w:rPr>
          <w:rFonts w:ascii="Times New Roman" w:eastAsia="Times New Roman" w:hAnsi="Times New Roman" w:cs="Times New Roman"/>
          <w:b/>
          <w:color w:val="FF0000"/>
          <w:sz w:val="24"/>
          <w:szCs w:val="24"/>
        </w:rPr>
        <w:t>afectados: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explicitar relación entre el hecho descripto y la calidad de afectado] [</w:t>
      </w:r>
      <w:r>
        <w:rPr>
          <w:rFonts w:ascii="Times New Roman" w:eastAsia="Times New Roman" w:hAnsi="Times New Roman" w:cs="Times New Roman"/>
          <w:b/>
          <w:color w:val="FF0000"/>
          <w:sz w:val="24"/>
          <w:szCs w:val="24"/>
        </w:rPr>
        <w:t>asociación intermedia</w:t>
      </w:r>
      <w:r>
        <w:rPr>
          <w:rFonts w:ascii="Times New Roman" w:eastAsia="Times New Roman" w:hAnsi="Times New Roman" w:cs="Times New Roman"/>
          <w:color w:val="FF0000"/>
          <w:sz w:val="24"/>
          <w:szCs w:val="24"/>
        </w:rPr>
        <w:t>: explicitar los fines perseguidos por la asociación, conforme a los estatutos, y relacionar el hecho descripto con dichos fines]</w:t>
      </w:r>
      <w:r>
        <w:rPr>
          <w:rFonts w:ascii="Times New Roman" w:eastAsia="Times New Roman" w:hAnsi="Times New Roman" w:cs="Times New Roman"/>
          <w:b/>
          <w:color w:val="000000"/>
          <w:sz w:val="24"/>
          <w:szCs w:val="24"/>
        </w:rPr>
        <w:t>.</w:t>
      </w:r>
    </w:p>
    <w:p w14:paraId="0000001D" w14:textId="77777777" w:rsidR="00742FFC" w:rsidRDefault="00742FFC">
      <w:pPr>
        <w:spacing w:after="0" w:line="360" w:lineRule="auto"/>
        <w:jc w:val="both"/>
        <w:rPr>
          <w:rFonts w:ascii="Times New Roman" w:eastAsia="Times New Roman" w:hAnsi="Times New Roman" w:cs="Times New Roman"/>
          <w:sz w:val="24"/>
          <w:szCs w:val="24"/>
        </w:rPr>
      </w:pPr>
    </w:p>
    <w:p w14:paraId="0000001E" w14:textId="77777777" w:rsidR="00742FFC" w:rsidRDefault="007C4518">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En este sentido, consideramos que la contaminación y el daño ambiental denunciados, constituyen una clara vulneración a </w:t>
      </w:r>
      <w:r>
        <w:rPr>
          <w:rFonts w:ascii="Times New Roman" w:eastAsia="Times New Roman" w:hAnsi="Times New Roman" w:cs="Times New Roman"/>
          <w:b/>
          <w:color w:val="FF0000"/>
          <w:sz w:val="24"/>
          <w:szCs w:val="24"/>
        </w:rPr>
        <w:t>[afe</w:t>
      </w:r>
      <w:r>
        <w:rPr>
          <w:rFonts w:ascii="Times New Roman" w:eastAsia="Times New Roman" w:hAnsi="Times New Roman" w:cs="Times New Roman"/>
          <w:b/>
          <w:color w:val="FF0000"/>
          <w:sz w:val="24"/>
          <w:szCs w:val="24"/>
        </w:rPr>
        <w:t xml:space="preserve">ctado: </w:t>
      </w:r>
      <w:r>
        <w:rPr>
          <w:rFonts w:ascii="Times New Roman" w:eastAsia="Times New Roman" w:hAnsi="Times New Roman" w:cs="Times New Roman"/>
          <w:color w:val="FF0000"/>
          <w:sz w:val="24"/>
          <w:szCs w:val="24"/>
        </w:rPr>
        <w:t>nuestros derechos] / [</w:t>
      </w:r>
      <w:r>
        <w:rPr>
          <w:rFonts w:ascii="Times New Roman" w:eastAsia="Times New Roman" w:hAnsi="Times New Roman" w:cs="Times New Roman"/>
          <w:b/>
          <w:color w:val="FF0000"/>
          <w:sz w:val="24"/>
          <w:szCs w:val="24"/>
        </w:rPr>
        <w:t xml:space="preserve">asociación intermedia: </w:t>
      </w:r>
      <w:r>
        <w:rPr>
          <w:rFonts w:ascii="Times New Roman" w:eastAsia="Times New Roman" w:hAnsi="Times New Roman" w:cs="Times New Roman"/>
          <w:color w:val="FF0000"/>
          <w:sz w:val="24"/>
          <w:szCs w:val="24"/>
        </w:rPr>
        <w:t>los derechos que defendemos, conforme lo señala nuestro estatuto, acompañado con la presente ]</w:t>
      </w:r>
      <w:r>
        <w:rPr>
          <w:rFonts w:ascii="Times New Roman" w:eastAsia="Times New Roman" w:hAnsi="Times New Roman" w:cs="Times New Roman"/>
          <w:b/>
          <w:color w:val="000000"/>
          <w:sz w:val="24"/>
          <w:szCs w:val="24"/>
        </w:rPr>
        <w:t>.</w:t>
      </w:r>
    </w:p>
    <w:p w14:paraId="0000001F" w14:textId="77777777" w:rsidR="00742FFC" w:rsidRDefault="00742FFC">
      <w:pPr>
        <w:spacing w:after="0" w:line="360" w:lineRule="auto"/>
        <w:ind w:firstLine="720"/>
        <w:jc w:val="both"/>
        <w:rPr>
          <w:rFonts w:ascii="Times New Roman" w:eastAsia="Times New Roman" w:hAnsi="Times New Roman" w:cs="Times New Roman"/>
          <w:color w:val="FF0000"/>
          <w:sz w:val="24"/>
          <w:szCs w:val="24"/>
        </w:rPr>
      </w:pPr>
    </w:p>
    <w:p w14:paraId="00000020"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PETITORIO:</w:t>
      </w:r>
    </w:p>
    <w:p w14:paraId="00000021" w14:textId="77777777" w:rsidR="00742FFC" w:rsidRDefault="007C45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todo lo expuesto a V.S. solicitamos:</w:t>
      </w:r>
    </w:p>
    <w:p w14:paraId="00000022"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Nos tenga por presentados, con el domicilio co</w:t>
      </w:r>
      <w:r>
        <w:rPr>
          <w:rFonts w:ascii="Times New Roman" w:eastAsia="Times New Roman" w:hAnsi="Times New Roman" w:cs="Times New Roman"/>
          <w:color w:val="000000"/>
          <w:sz w:val="24"/>
          <w:szCs w:val="24"/>
        </w:rPr>
        <w:t xml:space="preserve">nstituido y por parte en el carácter de </w:t>
      </w:r>
      <w:r>
        <w:rPr>
          <w:rFonts w:ascii="Times New Roman" w:eastAsia="Times New Roman" w:hAnsi="Times New Roman" w:cs="Times New Roman"/>
          <w:color w:val="000000"/>
          <w:sz w:val="24"/>
          <w:szCs w:val="24"/>
          <w:u w:val="single"/>
        </w:rPr>
        <w:t>Querellante Particular</w:t>
      </w:r>
      <w:r>
        <w:rPr>
          <w:rFonts w:ascii="Times New Roman" w:eastAsia="Times New Roman" w:hAnsi="Times New Roman" w:cs="Times New Roman"/>
          <w:color w:val="000000"/>
          <w:sz w:val="24"/>
          <w:szCs w:val="24"/>
        </w:rPr>
        <w:t>.</w:t>
      </w:r>
    </w:p>
    <w:p w14:paraId="00000023" w14:textId="77777777" w:rsidR="00742FFC" w:rsidRDefault="007C451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Por acompañada la documental que se agrega al presente.</w:t>
      </w:r>
    </w:p>
    <w:p w14:paraId="00000024" w14:textId="77777777" w:rsidR="00742FFC" w:rsidRDefault="00742FFC">
      <w:pPr>
        <w:spacing w:after="0" w:line="360" w:lineRule="auto"/>
        <w:jc w:val="both"/>
        <w:rPr>
          <w:rFonts w:ascii="Times New Roman" w:eastAsia="Times New Roman" w:hAnsi="Times New Roman" w:cs="Times New Roman"/>
          <w:sz w:val="24"/>
          <w:szCs w:val="24"/>
        </w:rPr>
      </w:pPr>
    </w:p>
    <w:p w14:paraId="00000025" w14:textId="77777777" w:rsidR="00742FFC" w:rsidRDefault="007C4518">
      <w:pPr>
        <w:spacing w:after="0" w:line="36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Proveer de conformidad</w:t>
      </w:r>
    </w:p>
    <w:p w14:paraId="00000026" w14:textId="77777777" w:rsidR="00742FFC" w:rsidRDefault="007C4518">
      <w:pPr>
        <w:spacing w:after="0" w:line="360" w:lineRule="auto"/>
        <w:ind w:left="57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Será Justicia.-</w:t>
      </w:r>
    </w:p>
    <w:p w14:paraId="00000027" w14:textId="77777777" w:rsidR="00742FFC" w:rsidRDefault="00742FFC">
      <w:pPr>
        <w:spacing w:line="360" w:lineRule="auto"/>
        <w:jc w:val="both"/>
        <w:rPr>
          <w:rFonts w:ascii="Times New Roman" w:eastAsia="Times New Roman" w:hAnsi="Times New Roman" w:cs="Times New Roman"/>
          <w:sz w:val="24"/>
          <w:szCs w:val="24"/>
        </w:rPr>
      </w:pPr>
    </w:p>
    <w:p w14:paraId="00000028" w14:textId="77777777" w:rsidR="00742FFC" w:rsidRDefault="00742FFC">
      <w:pPr>
        <w:spacing w:line="360" w:lineRule="auto"/>
        <w:jc w:val="both"/>
        <w:rPr>
          <w:rFonts w:ascii="Times New Roman" w:eastAsia="Times New Roman" w:hAnsi="Times New Roman" w:cs="Times New Roman"/>
          <w:sz w:val="24"/>
          <w:szCs w:val="24"/>
        </w:rPr>
      </w:pPr>
    </w:p>
    <w:p w14:paraId="00000029" w14:textId="77777777" w:rsidR="00742FFC" w:rsidRDefault="007C4518">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FIRMA/S  DE LOS SOLICITANTES</w:t>
      </w:r>
    </w:p>
    <w:sectPr w:rsidR="00742FF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FC"/>
    <w:rsid w:val="00742FFC"/>
    <w:rsid w:val="007C4518"/>
    <w:rsid w:val="007E1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453"/>
  <w15:docId w15:val="{54F8CC03-BCE5-4A0C-BFFD-BE811F3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21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721340"/>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7213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721340"/>
  </w:style>
  <w:style w:type="paragraph" w:styleId="Textonotapie">
    <w:name w:val="footnote text"/>
    <w:basedOn w:val="Normal"/>
    <w:link w:val="TextonotapieCar"/>
    <w:uiPriority w:val="99"/>
    <w:semiHidden/>
    <w:unhideWhenUsed/>
    <w:rsid w:val="00F35A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5A60"/>
    <w:rPr>
      <w:sz w:val="20"/>
      <w:szCs w:val="20"/>
    </w:rPr>
  </w:style>
  <w:style w:type="character" w:styleId="Refdenotaalpie">
    <w:name w:val="footnote reference"/>
    <w:basedOn w:val="Fuentedeprrafopredeter"/>
    <w:uiPriority w:val="99"/>
    <w:semiHidden/>
    <w:unhideWhenUsed/>
    <w:rsid w:val="00F35A6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STb9m44YHObp9mCbQoDtox2hA==">AMUW2mUjB8xBCoGgM1Ugv7h8xvw8s3hxGblsJiMMjdjHOf6zeWxliPvv/avW4YZxMBnKFRX7ZzTC1Y+bRC2X7V6WerRcdL3vwZcZ0DS4Nj6I7991YfYNO8s=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1958</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Juan Bautista Lopez</cp:lastModifiedBy>
  <cp:revision>2</cp:revision>
  <dcterms:created xsi:type="dcterms:W3CDTF">2020-06-23T21:15:00Z</dcterms:created>
  <dcterms:modified xsi:type="dcterms:W3CDTF">2020-07-10T02:39:00Z</dcterms:modified>
</cp:coreProperties>
</file>